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AC" w:rsidRPr="00107FAC" w:rsidRDefault="00107FAC" w:rsidP="00107FAC">
      <w:pPr>
        <w:shd w:val="clear" w:color="auto" w:fill="FFFFFF"/>
        <w:spacing w:after="0" w:line="180" w:lineRule="atLeast"/>
        <w:outlineLvl w:val="1"/>
        <w:rPr>
          <w:rFonts w:ascii="Palatino Linotype" w:eastAsia="Times New Roman" w:hAnsi="Palatino Linotype" w:cs="Arial"/>
          <w:b/>
          <w:bCs/>
          <w:sz w:val="24"/>
          <w:szCs w:val="24"/>
          <w:lang w:eastAsia="ru-RU"/>
        </w:rPr>
      </w:pPr>
      <w:proofErr w:type="spellStart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lang w:eastAsia="ru-RU"/>
        </w:rPr>
        <w:t>Qanunun</w:t>
      </w:r>
      <w:proofErr w:type="spellEnd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lang w:eastAsia="ru-RU"/>
        </w:rPr>
        <w:t>elan</w:t>
      </w:r>
      <w:proofErr w:type="spellEnd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lang w:eastAsia="ru-RU"/>
        </w:rPr>
        <w:t>edilməsi</w:t>
      </w:r>
      <w:proofErr w:type="spellEnd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lang w:eastAsia="ru-RU"/>
        </w:rPr>
        <w:t>və</w:t>
      </w:r>
      <w:proofErr w:type="spellEnd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lang w:eastAsia="ru-RU"/>
        </w:rPr>
        <w:t>icrası</w:t>
      </w:r>
      <w:proofErr w:type="spellEnd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lang w:eastAsia="ru-RU"/>
        </w:rPr>
        <w:t>barədə</w:t>
      </w:r>
      <w:proofErr w:type="spellEnd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lang w:eastAsia="ru-RU"/>
        </w:rPr>
        <w:t>Azərbaycan</w:t>
      </w:r>
      <w:proofErr w:type="spellEnd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lang w:eastAsia="ru-RU"/>
        </w:rPr>
        <w:t>Respublikası</w:t>
      </w:r>
      <w:proofErr w:type="spellEnd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lang w:eastAsia="ru-RU"/>
        </w:rPr>
        <w:t>təhsil</w:t>
      </w:r>
      <w:proofErr w:type="spellEnd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lang w:eastAsia="ru-RU"/>
        </w:rPr>
        <w:t>nazirinin</w:t>
      </w:r>
      <w:proofErr w:type="spellEnd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lang w:eastAsia="ru-RU"/>
        </w:rPr>
        <w:t>əmri</w:t>
      </w:r>
      <w:proofErr w:type="spellEnd"/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"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Əmək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Məcəlləsinə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dəyişikliklər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edilməsi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haqqında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"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2011-ci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17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may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tarixli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127-İVQD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nömrəli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Qanununu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elan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edirəm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:</w:t>
      </w: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br/>
      </w: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br/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center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eastAsia="ru-RU"/>
        </w:rPr>
        <w:t>"</w:t>
      </w:r>
      <w:proofErr w:type="spellStart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eastAsia="ru-RU"/>
        </w:rPr>
        <w:t>Əmək</w:t>
      </w:r>
      <w:proofErr w:type="spellEnd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eastAsia="ru-RU"/>
        </w:rPr>
        <w:t>Məcəlləsinə</w:t>
      </w:r>
      <w:proofErr w:type="spellEnd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eastAsia="ru-RU"/>
        </w:rPr>
        <w:t>dəyişikliklər</w:t>
      </w:r>
      <w:proofErr w:type="spellEnd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eastAsia="ru-RU"/>
        </w:rPr>
        <w:t>edilməsi</w:t>
      </w:r>
      <w:proofErr w:type="spellEnd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eastAsia="ru-RU"/>
        </w:rPr>
        <w:t>haqqında</w:t>
      </w:r>
      <w:proofErr w:type="spellEnd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eastAsia="ru-RU"/>
        </w:rPr>
        <w:t>" </w:t>
      </w:r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eastAsia="ru-RU"/>
        </w:rPr>
        <w:t>Qanunu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 </w:t>
      </w: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br/>
      </w: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br/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Milli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Məclisi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Konstitusiyasının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94-cü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maddəsinin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I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hissəsinin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16-cı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bəndinə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əsasən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 </w:t>
      </w: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br/>
      </w: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br/>
      </w:r>
    </w:p>
    <w:p w:rsidR="00107FAC" w:rsidRPr="00107FAC" w:rsidRDefault="00107FAC" w:rsidP="00107FAC">
      <w:pPr>
        <w:shd w:val="clear" w:color="auto" w:fill="FFFFFF"/>
        <w:spacing w:after="0" w:line="270" w:lineRule="atLeast"/>
        <w:jc w:val="center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eastAsia="ru-RU"/>
        </w:rPr>
        <w:t>QƏRARA ALIR:</w:t>
      </w: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 </w:t>
      </w: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br/>
      </w: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br/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Əmək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Məcəlləsində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aşağıdakı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dəyişikliklər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edilsin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: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Aşağıdakı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məzmunda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10-1-ci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maddə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əlavə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edilsin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: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"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Maddə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10-1.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Dövlət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büdcəsindən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maliyyələşən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müəssisələrdə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çalışmanın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yaş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həddi</w:t>
      </w:r>
      <w:proofErr w:type="spellEnd"/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10-1.1.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Dövlət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büdcəsindən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maliyyələşən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müəssisələrdə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çalışmanın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yaş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həddi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65-dir.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10-1.2. </w:t>
      </w:r>
      <w:proofErr w:type="spellStart"/>
      <w:proofErr w:type="gram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Dövlət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büdcəsindən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maliyyələşən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müəssisənin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65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yaşına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çatmış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işçisinin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həmin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müəssisədə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çalışma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müddəti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müvafiq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dövlət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orqanının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rəhbəri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tərəfindən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hər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dəfə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1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ildən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çox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olmayaraq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uzadıla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bilər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Çalışma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</w:t>
      </w:r>
      <w:proofErr w:type="gram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üddətinin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5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ildən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çox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uzadılmasına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yol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verilmir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.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10-1.3. </w:t>
      </w:r>
      <w:proofErr w:type="spellStart"/>
      <w:proofErr w:type="gram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Elm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mədəniyyət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səhiyyə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təhsil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sahələrinin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inkişafında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müvafiq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icra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hakimiyyəti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orqanı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tərəfindən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müəyyən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edilmiş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xüsusi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xidmətləri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olmuş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dövlət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büdcəsindən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maliyyələşən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müəssisənin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65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yaşına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çatmış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işçisinin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çalışma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müddəti</w:t>
      </w:r>
      <w:proofErr w:type="spellEnd"/>
      <w:proofErr w:type="gram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müvafiq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dövlət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orqanı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tərəfindən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bu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Qanunun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10-1.2-ci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maddəsində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nəzərdə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tutulmuş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müddətdən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artıq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uzadıla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bilər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.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10-1.4.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Bu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Qanunun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10-1.2-ci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10-1.3-cü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maddələrinə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uyğun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olaraq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müvafiq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sahə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üzrə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dövlət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büdcəsindən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maliyyələşən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müəssisələrin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işçilərinin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ümumi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sayının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15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faizindən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artıq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ola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bilməz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.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10-1.5.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Müvafiq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sahə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üzrə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dövlət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büdcəsindən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maliyyələşən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hər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bir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müəssisənin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çalışma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müddəti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uzadılmış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işçilərinin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sayı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həmin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müəssisənin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işçilərinin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sayının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2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faizindən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artıq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ola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bilməz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Müəssisənin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işçilərinin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sayı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100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nəfərdən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az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olduqda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çalışma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müddəti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uzadılmış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işçilərin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sayı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iki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ştat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vahidinə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qədər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yuvarlaqlaşdırılır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.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10-1.6.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Dövlət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büdcəsindən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maliyyələşən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müəssisələrdə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çalışan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işçilərin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çalışma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müddətinin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uzadılmasına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onların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razılığı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əsasında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yol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verilir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".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 70-ci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maddənin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"d"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bəndinin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sonunda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nöqtə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işarəsi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nöqtəli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vergül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işarəsi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ilə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əvəz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edilsin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maddəyə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aşağıdakı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məzmunda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"e"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bəndi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əlavə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edilsin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: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"e)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dövlət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büdcəsindən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maliyyələşən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müəssisənin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işçisi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çalışmanın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yaş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həddinə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çatdıqda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.". 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jc w:val="right"/>
        <w:rPr>
          <w:rFonts w:ascii="Palatino Linotype" w:eastAsia="Times New Roman" w:hAnsi="Palatino Linotype" w:cs="Arial"/>
          <w:sz w:val="24"/>
          <w:szCs w:val="24"/>
          <w:lang w:val="en-US" w:eastAsia="ru-RU"/>
        </w:rPr>
      </w:pPr>
      <w:proofErr w:type="spellStart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İlham</w:t>
      </w:r>
      <w:proofErr w:type="spellEnd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 xml:space="preserve"> ƏLİYEV</w:t>
      </w:r>
      <w:proofErr w:type="gramStart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,</w:t>
      </w:r>
      <w:proofErr w:type="gramEnd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br/>
      </w:r>
      <w:proofErr w:type="spellStart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Azərbaycan</w:t>
      </w:r>
      <w:proofErr w:type="spellEnd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Respublikasının</w:t>
      </w:r>
      <w:proofErr w:type="spellEnd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Prezidenti</w:t>
      </w:r>
      <w:proofErr w:type="spellEnd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br/>
      </w:r>
      <w:proofErr w:type="spellStart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Bakı</w:t>
      </w:r>
      <w:proofErr w:type="spellEnd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 xml:space="preserve"> şəhəri, 17 may 2011-ci </w:t>
      </w:r>
      <w:proofErr w:type="spellStart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il</w:t>
      </w:r>
      <w:proofErr w:type="spellEnd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. № 127-İVQD"</w:t>
      </w: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 </w:t>
      </w: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br/>
      </w:r>
    </w:p>
    <w:p w:rsidR="00107FAC" w:rsidRPr="00107FAC" w:rsidRDefault="00107FAC" w:rsidP="00107FAC">
      <w:pPr>
        <w:shd w:val="clear" w:color="auto" w:fill="FFFFFF"/>
        <w:spacing w:after="0" w:line="270" w:lineRule="atLeast"/>
        <w:jc w:val="both"/>
        <w:rPr>
          <w:rFonts w:ascii="Palatino Linotype" w:eastAsia="Times New Roman" w:hAnsi="Palatino Linotype" w:cs="Arial"/>
          <w:sz w:val="24"/>
          <w:szCs w:val="24"/>
          <w:lang w:val="en-US"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107FAC" w:rsidRDefault="00107FAC" w:rsidP="00107FAC">
      <w:pPr>
        <w:shd w:val="clear" w:color="auto" w:fill="FFFFFF"/>
        <w:spacing w:after="0" w:line="270" w:lineRule="atLeast"/>
        <w:ind w:firstLine="720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107FAC" w:rsidRDefault="00107FAC" w:rsidP="00107FAC">
      <w:pPr>
        <w:shd w:val="clear" w:color="auto" w:fill="FFFFFF"/>
        <w:spacing w:after="0" w:line="270" w:lineRule="atLeast"/>
        <w:ind w:firstLine="720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107FAC" w:rsidRDefault="00107FAC" w:rsidP="00107FAC">
      <w:pPr>
        <w:shd w:val="clear" w:color="auto" w:fill="FFFFFF"/>
        <w:spacing w:after="0" w:line="270" w:lineRule="atLeast"/>
        <w:ind w:firstLine="720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107FAC" w:rsidRDefault="00107FAC" w:rsidP="00107FAC">
      <w:pPr>
        <w:shd w:val="clear" w:color="auto" w:fill="FFFFFF"/>
        <w:spacing w:after="0" w:line="270" w:lineRule="atLeast"/>
        <w:ind w:firstLine="720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107FAC" w:rsidRPr="00107FAC" w:rsidRDefault="00107FAC" w:rsidP="00107FAC">
      <w:pPr>
        <w:shd w:val="clear" w:color="auto" w:fill="FFFFFF"/>
        <w:spacing w:after="0" w:line="270" w:lineRule="atLeast"/>
        <w:jc w:val="center"/>
        <w:rPr>
          <w:rFonts w:ascii="Palatino Linotype" w:eastAsia="Times New Roman" w:hAnsi="Palatino Linotype" w:cs="Arial"/>
          <w:sz w:val="24"/>
          <w:szCs w:val="24"/>
          <w:lang w:val="en-US" w:eastAsia="ru-RU"/>
        </w:rPr>
      </w:pPr>
      <w:proofErr w:type="spellStart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val="en-US" w:eastAsia="ru-RU"/>
        </w:rPr>
        <w:lastRenderedPageBreak/>
        <w:t>Qanunun</w:t>
      </w:r>
      <w:proofErr w:type="spellEnd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val="en-US" w:eastAsia="ru-RU"/>
        </w:rPr>
        <w:t>crasını</w:t>
      </w:r>
      <w:proofErr w:type="spellEnd"/>
      <w:r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val="en-US" w:eastAsia="ru-RU"/>
        </w:rPr>
        <w:t>təmin</w:t>
      </w:r>
      <w:proofErr w:type="spellEnd"/>
      <w:r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val="en-US" w:eastAsia="ru-RU"/>
        </w:rPr>
        <w:t>etmək</w:t>
      </w:r>
      <w:proofErr w:type="spellEnd"/>
      <w:r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val="en-US" w:eastAsia="ru-RU"/>
        </w:rPr>
        <w:t>məqsədilə</w:t>
      </w:r>
      <w:proofErr w:type="spellEnd"/>
      <w:r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val="en-US" w:eastAsia="ru-RU"/>
        </w:rPr>
        <w:t> </w:t>
      </w:r>
    </w:p>
    <w:p w:rsidR="00107FAC" w:rsidRDefault="00107FAC" w:rsidP="00107FAC">
      <w:pPr>
        <w:shd w:val="clear" w:color="auto" w:fill="FFFFFF"/>
        <w:spacing w:after="0" w:line="270" w:lineRule="atLeast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107FAC" w:rsidRPr="00107FAC" w:rsidRDefault="00107FAC" w:rsidP="00107FAC">
      <w:pPr>
        <w:shd w:val="clear" w:color="auto" w:fill="FFFFFF"/>
        <w:spacing w:after="0" w:line="270" w:lineRule="atLeast"/>
        <w:jc w:val="center"/>
        <w:rPr>
          <w:rFonts w:ascii="Palatino Linotype" w:eastAsia="Times New Roman" w:hAnsi="Palatino Linotype" w:cs="Arial"/>
          <w:sz w:val="24"/>
          <w:szCs w:val="24"/>
          <w:lang w:val="en-US" w:eastAsia="ru-RU"/>
        </w:rPr>
      </w:pPr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val="en-US" w:eastAsia="ru-RU"/>
        </w:rPr>
        <w:t>ƏMR EDİRƏM: </w:t>
      </w:r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val="en-US" w:eastAsia="ru-RU"/>
        </w:rPr>
        <w:br/>
      </w:r>
      <w:r w:rsidRPr="00107FAC">
        <w:rPr>
          <w:rFonts w:ascii="Palatino Linotype" w:eastAsia="Times New Roman" w:hAnsi="Palatino Linotype" w:cs="Arial"/>
          <w:b/>
          <w:bCs/>
          <w:sz w:val="24"/>
          <w:szCs w:val="24"/>
          <w:bdr w:val="none" w:sz="0" w:space="0" w:color="auto" w:frame="1"/>
          <w:lang w:val="en-US" w:eastAsia="ru-RU"/>
        </w:rPr>
        <w:br/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val="en-US"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1. "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Azərbaycan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Respublikasının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Əmək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Məcəlləsinə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dəyişikliklər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edilməsi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haqqında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"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Azərbaycan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Respublikasının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Qanunu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rəhbərlik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və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icra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üçün</w:t>
      </w:r>
      <w:proofErr w:type="spellEnd"/>
      <w:proofErr w:type="gram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 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qəbul</w:t>
      </w:r>
      <w:proofErr w:type="spellEnd"/>
      <w:proofErr w:type="gram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edilsin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.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val="en-US"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2.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Aparatın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rəhbəri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(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İ.Pirməmmədov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),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Strateji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təhlil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planlaşdırma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və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kadrların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idarə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olunması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şöbəsi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(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F.Qədirov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),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Kənd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rayonları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üzrə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Ümumi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təhsil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şöbəsi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(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A.Əhmədov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),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İqtisadiyyat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şöbəsi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(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Ş.Əliyev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), Ali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və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orta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ixtisas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təhsili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şöbəsi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(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İ.Mustafayev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),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Texniki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peşə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təhsili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şöbəsi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(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N.Məmmədov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),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Tərbiyə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və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məktəbdənkənar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müəssisələrlə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iş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şöbəsi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(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A.İbrahimov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),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Məktəbəqədər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təhsil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sektoru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(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N.Alnağıyeva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),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Hüquq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sektoru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(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E.Həsənov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)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ilə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birlikdə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: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val="en-US" w:eastAsia="ru-RU"/>
        </w:rPr>
      </w:pPr>
      <w:proofErr w:type="gram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2.1.Əmək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Məcəlləsinin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10-1.1-ci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maddəsinə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uyğun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olaraq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Təhsil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Nazirliyinin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nomenklaturasına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əsasən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təhsil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müəssisələrində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yaş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həddi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65-ə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çatmış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təhsil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işçilərinin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siyahısını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hazırlayıb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rəhbərliyə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təqdim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etsinlər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.</w:t>
      </w:r>
      <w:proofErr w:type="gramEnd"/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val="en-US"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3.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Əmək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Məcəlləsinin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10-1.3-cü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maddəsinə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uyğun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olaraq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təhsil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sahəsinin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inkişafında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xüsusi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xidmətləri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olan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65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yaşına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çatmış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işçilərin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çalışma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müddətinin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Qanunun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10-1.2-ci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maddəsində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nəzərdə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tutulmuş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müddətdən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artıq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uzadılması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ilə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əlaqədar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təkliflərini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hazırlayıb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rəhbərliyə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təqdim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etsinlər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.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val="en-US"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4.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Əmək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Məcəlləsinin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10-1.2-ci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maddəsinə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əsasən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təhsil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müəssisələrində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yaş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həddi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65-ə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çatmış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təhsil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işçilərinin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həmin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müəssisədə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bookmarkStart w:id="0" w:name="_GoBack"/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çalışma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müddətinin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uzadılması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zamanı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aşağıdakı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meyarları</w:t>
      </w:r>
      <w:bookmarkEnd w:id="0"/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nəzərə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alsınlar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: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val="en-US"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-son 1ildə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haqqında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intizam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tənbehi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tədbirlərinin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tətbiq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edilməməsi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;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val="en-US"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-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elmi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dərəcə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və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ya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elmi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adının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olması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;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val="en-US"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-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dövlət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təltifi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ilə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təltif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edilməsi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;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val="en-US"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-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attestasiyadan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2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dəfə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müvəffəqiyyətlə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keçməsi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;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val="en-US"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-"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yaxşı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müəllim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"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müsabiqəsinin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qalibi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olması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;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val="en-US"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-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müəssisədə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ixtisaslı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kadr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olmadıqda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və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ya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işçini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başqası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ilə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əvəz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etmək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mümkün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olmadıqda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;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val="en-US"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-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səhhəti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vəzifəsinin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icrasına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imkan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verdiyi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halda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;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val="en-US" w:eastAsia="ru-RU"/>
        </w:rPr>
      </w:pPr>
      <w:proofErr w:type="gram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-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işlədiyi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kollektivdə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və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cəmiyyətdə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nüfuza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malik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olması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val="en-US" w:eastAsia="ru-RU"/>
        </w:rPr>
        <w:t>.</w:t>
      </w:r>
      <w:proofErr w:type="gramEnd"/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spellStart"/>
      <w:proofErr w:type="gram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Təhsilin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İdarəolunmasının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Məlumat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Sistemləri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Şöbəsi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İ.Sadıqov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Strateji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təhlil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planlaşdırma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kadrların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idarə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olunması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şöbəsi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F.Qədirov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Kənd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rayonları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üzrə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Ümumi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təhsil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şöbəsi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A.Əhmədov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Ali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orta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ixtisas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təhsili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şöbəsi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İ.Mustafayev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Texniki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peşə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təhsili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şöbəsi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N.Məmm</w:t>
      </w:r>
      <w:proofErr w:type="gram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ə</w:t>
      </w:r>
      <w:proofErr w:type="gram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dov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Tərbiyə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məktəbdənkənar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müəssisələrlə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iş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şöbəsi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A.İbrahimov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Məktəbəqədər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təhsil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sektoru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N.Alnağıyeva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ilə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birlikdə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məktəbəqədər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ümumi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ilk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peşə-ixtisas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orta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ixtisas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təhsili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pillələri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üzrə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məlumat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bazasının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formalaşdırılmas</w:t>
      </w:r>
      <w:proofErr w:type="gram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ını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təmin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etsin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.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Bakı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Şəhəri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üzrə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Təhsil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İdarəsi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Gəncə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Şəhər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Təhsil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İdarəsi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rayon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şəhər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təhsil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şöbələri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: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proofErr w:type="gram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6.1.Əmək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Məcəlləsinin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10-1.2, 10-1.4, 10-1.5, 10-1.6-cı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maddələrinə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əsasən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müəyyənləşdirilmiş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meyarlar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nəzərə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alınmaqla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təhsil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müəssisələrində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yaş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həddi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65-ə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çatmış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təhsil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işçilərinin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həmin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müəssisədə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çalışma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müddətinin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uzadılması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ilə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əlaqədar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məs</w:t>
      </w:r>
      <w:proofErr w:type="gram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ələləri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qanunvericiliyə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uyğun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həll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etsinlər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nəticələr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barədə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Təhsil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Nazirliyinə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məlumat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təqdim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etsinlər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.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proofErr w:type="gram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6.2.Əmək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Məcəlləsinin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10-1.1-ci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maddəsinə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uyğun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olaraq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təhsil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müəssisələrində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65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ondan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yuxarı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yaş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həddində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olan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təhsil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işçilərinin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siyahısını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hazırlasınlar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əmək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məzuniyyətindən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qayıtdıqdan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sonra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onlarla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bağlanmış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əmək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müqaviləsinin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ləğv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edilm</w:t>
      </w:r>
      <w:proofErr w:type="gram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əsi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ilə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lastRenderedPageBreak/>
        <w:t>əlaqədar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tədbirləri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həyata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keçirsinlər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nəticəsi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barədə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siyahılar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təqdim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edilməklə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Təhsil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Nazirliyinə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məlumat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versinlər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.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6.3.Əmək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müqaviləsi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ləğv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olunmuş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pedaqoji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işçilərin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dərs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yüklərinin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mövcud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normalara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uyğun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olaraq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ixtisaslı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digər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müəllimlər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arasında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bölüşdürülməsini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təmin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etsinlər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.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6.4.Qanunun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icrası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ilə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bağlı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yerlərdə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maarifləndirmə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işlərinin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aparılmasını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təmin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etsinlər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.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7. </w:t>
      </w:r>
      <w:proofErr w:type="spellStart"/>
      <w:proofErr w:type="gram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Strateji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təhlil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planlaşdırma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kadrların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idarə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olunması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şöbəsi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F.Qədirov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təhsil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müəssisələrində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yaş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həddi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65-ə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çatmış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pedaqoji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işçilərlə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bağlanmış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əmək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müqaviləsinin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ləğv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edilməsi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ilə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əlaqədar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təhlillər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aparsın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ehtiyac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olan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təhsil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müəssisələrinin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kadr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</w:t>
      </w:r>
      <w:proofErr w:type="gram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əminatı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ilə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bağlı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təkliflər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hazırlayıb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təqdim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etsin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.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8.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İctimaiyyətlə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əlaqə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şöbəsi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B.Hüseynzadə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əmrin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"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müəllimi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"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qəzetində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"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Təhsil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xəbərləri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"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məcmuəsində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dərc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olunmasını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təmin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etsin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.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9.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Ümumi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şöbənin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müdiri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X.Fərəcov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əmrin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çoxaldılıb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yerlərə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göndərilməsini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təşkil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etsin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.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ind w:firstLine="720"/>
        <w:jc w:val="both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10.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Əmrin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icrasına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nəzarəti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öz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üzərimə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götürürəm</w:t>
      </w:r>
      <w:proofErr w:type="spellEnd"/>
      <w:r w:rsidRPr="00107FAC">
        <w:rPr>
          <w:rFonts w:ascii="Palatino Linotype" w:eastAsia="Times New Roman" w:hAnsi="Palatino Linotype" w:cs="Arial"/>
          <w:sz w:val="24"/>
          <w:szCs w:val="24"/>
          <w:bdr w:val="none" w:sz="0" w:space="0" w:color="auto" w:frame="1"/>
          <w:lang w:eastAsia="ru-RU"/>
        </w:rPr>
        <w:t>. </w:t>
      </w:r>
    </w:p>
    <w:p w:rsidR="00107FAC" w:rsidRPr="00107FAC" w:rsidRDefault="00107FAC" w:rsidP="00107FAC">
      <w:pPr>
        <w:shd w:val="clear" w:color="auto" w:fill="FFFFFF"/>
        <w:spacing w:after="0" w:line="270" w:lineRule="atLeast"/>
        <w:jc w:val="right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proofErr w:type="spellStart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Misir</w:t>
      </w:r>
      <w:proofErr w:type="spellEnd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M</w:t>
      </w:r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Ə</w:t>
      </w:r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RDANOV</w:t>
      </w:r>
      <w:proofErr w:type="gramStart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Az</w:t>
      </w:r>
      <w:proofErr w:type="spellEnd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ə</w:t>
      </w:r>
      <w:proofErr w:type="spellStart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rbaycan</w:t>
      </w:r>
      <w:proofErr w:type="spellEnd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Respublikas</w:t>
      </w:r>
      <w:proofErr w:type="spellEnd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ı</w:t>
      </w:r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n</w:t>
      </w:r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ı</w:t>
      </w:r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n</w:t>
      </w:r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t</w:t>
      </w:r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ə</w:t>
      </w:r>
      <w:proofErr w:type="spellStart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hsil</w:t>
      </w:r>
      <w:proofErr w:type="spellEnd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naziri</w:t>
      </w:r>
      <w:proofErr w:type="spellEnd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br/>
        <w:t xml:space="preserve">15 </w:t>
      </w:r>
      <w:proofErr w:type="spellStart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iyul</w:t>
      </w:r>
      <w:proofErr w:type="spellEnd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2011-</w:t>
      </w:r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ci</w:t>
      </w:r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07FAC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>il</w:t>
      </w:r>
      <w:proofErr w:type="spellEnd"/>
    </w:p>
    <w:p w:rsidR="00BF3AE1" w:rsidRPr="00107FAC" w:rsidRDefault="00BF3AE1">
      <w:pPr>
        <w:rPr>
          <w:rFonts w:ascii="Palatino Linotype" w:hAnsi="Palatino Linotype"/>
          <w:sz w:val="24"/>
          <w:szCs w:val="24"/>
        </w:rPr>
      </w:pPr>
    </w:p>
    <w:sectPr w:rsidR="00BF3AE1" w:rsidRPr="00107FAC" w:rsidSect="00107FAC">
      <w:pgSz w:w="11906" w:h="16838"/>
      <w:pgMar w:top="567" w:right="567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AC"/>
    <w:rsid w:val="00107FAC"/>
    <w:rsid w:val="00B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7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7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07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7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7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0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 Mammadov</dc:creator>
  <cp:lastModifiedBy>Raman Mammadov</cp:lastModifiedBy>
  <cp:revision>1</cp:revision>
  <dcterms:created xsi:type="dcterms:W3CDTF">2015-08-27T07:05:00Z</dcterms:created>
  <dcterms:modified xsi:type="dcterms:W3CDTF">2015-08-27T07:08:00Z</dcterms:modified>
</cp:coreProperties>
</file>